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15"/>
        <w:gridCol w:w="10489"/>
      </w:tblGrid>
      <w:tr w:rsidR="00D82F1A" w14:paraId="21EA2DA6" w14:textId="77777777" w:rsidTr="00187EA5">
        <w:tc>
          <w:tcPr>
            <w:tcW w:w="15304" w:type="dxa"/>
            <w:gridSpan w:val="2"/>
            <w:shd w:val="clear" w:color="auto" w:fill="D9E2F3" w:themeFill="accent1" w:themeFillTint="33"/>
          </w:tcPr>
          <w:p w14:paraId="2B8B8140" w14:textId="77777777" w:rsidR="00D82F1A" w:rsidRPr="006915AA" w:rsidRDefault="00D82F1A" w:rsidP="008758CD">
            <w:pPr>
              <w:rPr>
                <w:b/>
                <w:sz w:val="24"/>
                <w:szCs w:val="24"/>
              </w:rPr>
            </w:pPr>
            <w:r w:rsidRPr="006915AA">
              <w:rPr>
                <w:b/>
                <w:sz w:val="24"/>
                <w:szCs w:val="24"/>
              </w:rPr>
              <w:t xml:space="preserve">Maintaining an inclusive learning environment </w:t>
            </w:r>
          </w:p>
        </w:tc>
      </w:tr>
      <w:tr w:rsidR="007F4321" w14:paraId="565D09B3" w14:textId="77777777" w:rsidTr="00187EA5">
        <w:tc>
          <w:tcPr>
            <w:tcW w:w="15304" w:type="dxa"/>
            <w:gridSpan w:val="2"/>
            <w:shd w:val="clear" w:color="auto" w:fill="FFFFFF" w:themeFill="background1"/>
          </w:tcPr>
          <w:p w14:paraId="26117ADE" w14:textId="75759504" w:rsidR="0025590D" w:rsidRPr="006915AA" w:rsidRDefault="0025590D" w:rsidP="007F4321">
            <w:pPr>
              <w:rPr>
                <w:b/>
                <w:i/>
                <w:sz w:val="24"/>
                <w:szCs w:val="24"/>
              </w:rPr>
            </w:pPr>
            <w:r w:rsidRPr="006915AA">
              <w:rPr>
                <w:b/>
                <w:i/>
                <w:sz w:val="24"/>
                <w:szCs w:val="24"/>
              </w:rPr>
              <w:t>(See also Supporting Learners in Writing/Reading)</w:t>
            </w:r>
          </w:p>
          <w:p w14:paraId="17E1D397" w14:textId="07A355F7" w:rsidR="0025590D" w:rsidRPr="006915AA" w:rsidRDefault="0025590D" w:rsidP="0025590D">
            <w:pPr>
              <w:pStyle w:val="ListParagraph"/>
              <w:numPr>
                <w:ilvl w:val="0"/>
                <w:numId w:val="18"/>
              </w:numPr>
              <w:rPr>
                <w:sz w:val="24"/>
                <w:szCs w:val="24"/>
              </w:rPr>
            </w:pPr>
            <w:r w:rsidRPr="006915AA">
              <w:rPr>
                <w:sz w:val="24"/>
                <w:szCs w:val="24"/>
              </w:rPr>
              <w:t xml:space="preserve">Pupils’ seating and the main board position are planned for the shape of the room. </w:t>
            </w:r>
          </w:p>
          <w:p w14:paraId="6C6F2FE8" w14:textId="77777777" w:rsidR="0025590D" w:rsidRPr="006915AA" w:rsidRDefault="0025590D" w:rsidP="0025590D">
            <w:pPr>
              <w:pStyle w:val="ListParagraph"/>
              <w:numPr>
                <w:ilvl w:val="0"/>
                <w:numId w:val="18"/>
              </w:numPr>
              <w:rPr>
                <w:sz w:val="24"/>
                <w:szCs w:val="24"/>
              </w:rPr>
            </w:pPr>
            <w:r w:rsidRPr="006915AA">
              <w:rPr>
                <w:sz w:val="24"/>
                <w:szCs w:val="24"/>
              </w:rPr>
              <w:t xml:space="preserve">Pupils can see and hear clearly, as necessary: the teacher " each other, and " the board/TV/screens.  </w:t>
            </w:r>
          </w:p>
          <w:p w14:paraId="5C73C316" w14:textId="77777777" w:rsidR="0025590D" w:rsidRPr="006915AA" w:rsidRDefault="0025590D" w:rsidP="0025590D">
            <w:pPr>
              <w:pStyle w:val="ListParagraph"/>
              <w:numPr>
                <w:ilvl w:val="0"/>
                <w:numId w:val="18"/>
              </w:numPr>
              <w:rPr>
                <w:sz w:val="24"/>
                <w:szCs w:val="24"/>
              </w:rPr>
            </w:pPr>
            <w:r w:rsidRPr="006915AA">
              <w:rPr>
                <w:sz w:val="24"/>
                <w:szCs w:val="24"/>
              </w:rPr>
              <w:t xml:space="preserve">Seating allows for peer or adult support. </w:t>
            </w:r>
          </w:p>
          <w:p w14:paraId="2FE5F207" w14:textId="2C588AA3" w:rsidR="007F4321" w:rsidRPr="006915AA" w:rsidRDefault="0025590D" w:rsidP="0025590D">
            <w:pPr>
              <w:pStyle w:val="ListParagraph"/>
              <w:numPr>
                <w:ilvl w:val="0"/>
                <w:numId w:val="18"/>
              </w:numPr>
              <w:rPr>
                <w:sz w:val="24"/>
                <w:szCs w:val="24"/>
              </w:rPr>
            </w:pPr>
            <w:r w:rsidRPr="006915AA">
              <w:rPr>
                <w:sz w:val="24"/>
                <w:szCs w:val="24"/>
              </w:rPr>
              <w:t>There is room for pupils with mobility difficulties to obtain their own resources, equipment and materials.</w:t>
            </w:r>
          </w:p>
          <w:p w14:paraId="5BCB62FC" w14:textId="5A5F3E01" w:rsidR="000179E6" w:rsidRPr="006915AA" w:rsidRDefault="000179E6" w:rsidP="0025590D">
            <w:pPr>
              <w:pStyle w:val="ListParagraph"/>
              <w:numPr>
                <w:ilvl w:val="0"/>
                <w:numId w:val="18"/>
              </w:numPr>
              <w:rPr>
                <w:sz w:val="24"/>
                <w:szCs w:val="24"/>
              </w:rPr>
            </w:pPr>
            <w:r w:rsidRPr="006915AA">
              <w:rPr>
                <w:sz w:val="24"/>
                <w:szCs w:val="24"/>
              </w:rPr>
              <w:t xml:space="preserve">Interactive whiteboards </w:t>
            </w:r>
            <w:proofErr w:type="gramStart"/>
            <w:r w:rsidRPr="006915AA">
              <w:rPr>
                <w:sz w:val="24"/>
                <w:szCs w:val="24"/>
              </w:rPr>
              <w:t>are  non</w:t>
            </w:r>
            <w:proofErr w:type="gramEnd"/>
            <w:r w:rsidRPr="006915AA">
              <w:rPr>
                <w:sz w:val="24"/>
                <w:szCs w:val="24"/>
              </w:rPr>
              <w:t>-reflective to reduce glare.</w:t>
            </w:r>
          </w:p>
          <w:p w14:paraId="12DA8216" w14:textId="1F5EDE3A" w:rsidR="000179E6" w:rsidRPr="006915AA" w:rsidRDefault="000179E6" w:rsidP="0025590D">
            <w:pPr>
              <w:pStyle w:val="ListParagraph"/>
              <w:numPr>
                <w:ilvl w:val="0"/>
                <w:numId w:val="18"/>
              </w:numPr>
              <w:rPr>
                <w:sz w:val="24"/>
                <w:szCs w:val="24"/>
              </w:rPr>
            </w:pPr>
            <w:r w:rsidRPr="006915AA">
              <w:rPr>
                <w:sz w:val="24"/>
                <w:szCs w:val="24"/>
              </w:rPr>
              <w:t>Make sure maps, atlases, artefacts, models and photographs are accessible and labelled clearly. Make use of pupils’ own digital presentations – e.g</w:t>
            </w:r>
            <w:r w:rsidR="00EB5EFF" w:rsidRPr="006915AA">
              <w:rPr>
                <w:sz w:val="24"/>
                <w:szCs w:val="24"/>
              </w:rPr>
              <w:t>.</w:t>
            </w:r>
            <w:r w:rsidRPr="006915AA">
              <w:rPr>
                <w:sz w:val="24"/>
                <w:szCs w:val="24"/>
              </w:rPr>
              <w:t xml:space="preserve"> of a visit or field trip − so that everyone can contribute</w:t>
            </w:r>
          </w:p>
          <w:p w14:paraId="69BFED80" w14:textId="4F908E73" w:rsidR="000179E6" w:rsidRPr="006915AA" w:rsidRDefault="000179E6" w:rsidP="0025590D">
            <w:pPr>
              <w:pStyle w:val="ListParagraph"/>
              <w:numPr>
                <w:ilvl w:val="0"/>
                <w:numId w:val="18"/>
              </w:numPr>
              <w:rPr>
                <w:sz w:val="24"/>
                <w:szCs w:val="24"/>
              </w:rPr>
            </w:pPr>
            <w:r w:rsidRPr="006915AA">
              <w:rPr>
                <w:sz w:val="24"/>
                <w:szCs w:val="24"/>
              </w:rPr>
              <w:t>Check the way marking used round the school, school grounds and any other centres is clear and in accessible formats (arrows, labels, symbols, etc).</w:t>
            </w:r>
          </w:p>
          <w:p w14:paraId="69A41240" w14:textId="3067F641" w:rsidR="007F4321" w:rsidRPr="006915AA" w:rsidRDefault="00EB5EFF" w:rsidP="00EB5EFF">
            <w:pPr>
              <w:pStyle w:val="ListParagraph"/>
              <w:numPr>
                <w:ilvl w:val="0"/>
                <w:numId w:val="18"/>
              </w:numPr>
              <w:rPr>
                <w:sz w:val="24"/>
                <w:szCs w:val="24"/>
              </w:rPr>
            </w:pPr>
            <w:r w:rsidRPr="006915AA">
              <w:rPr>
                <w:sz w:val="24"/>
                <w:szCs w:val="24"/>
              </w:rPr>
              <w:t xml:space="preserve">‘Understanding the World’ area of the EYFS Curriculum is introduced indirectly through activities that encourage every </w:t>
            </w:r>
            <w:proofErr w:type="gramStart"/>
            <w:r w:rsidRPr="006915AA">
              <w:rPr>
                <w:sz w:val="24"/>
                <w:szCs w:val="24"/>
              </w:rPr>
              <w:t>child  to</w:t>
            </w:r>
            <w:proofErr w:type="gramEnd"/>
            <w:r w:rsidRPr="006915AA">
              <w:rPr>
                <w:sz w:val="24"/>
                <w:szCs w:val="24"/>
              </w:rPr>
              <w:t xml:space="preserve"> explore, problem solve, observe, predict, think, make decisions and talk about the world  around them.</w:t>
            </w:r>
          </w:p>
        </w:tc>
      </w:tr>
      <w:tr w:rsidR="007F4321" w14:paraId="1301559D" w14:textId="77777777" w:rsidTr="00187EA5">
        <w:tc>
          <w:tcPr>
            <w:tcW w:w="15304" w:type="dxa"/>
            <w:gridSpan w:val="2"/>
            <w:shd w:val="clear" w:color="auto" w:fill="D9E2F3" w:themeFill="accent1" w:themeFillTint="33"/>
          </w:tcPr>
          <w:p w14:paraId="4A49F9CF" w14:textId="77777777" w:rsidR="007F4321" w:rsidRPr="006915AA" w:rsidRDefault="007F4321" w:rsidP="007F4321">
            <w:pPr>
              <w:jc w:val="center"/>
              <w:rPr>
                <w:b/>
                <w:sz w:val="24"/>
                <w:szCs w:val="24"/>
              </w:rPr>
            </w:pPr>
            <w:r w:rsidRPr="006915AA">
              <w:rPr>
                <w:b/>
                <w:sz w:val="24"/>
                <w:szCs w:val="24"/>
              </w:rPr>
              <w:t>Strategies to Support Learners with SEND</w:t>
            </w:r>
          </w:p>
        </w:tc>
      </w:tr>
      <w:tr w:rsidR="008758CD" w14:paraId="405C440E" w14:textId="77777777" w:rsidTr="00187EA5">
        <w:tc>
          <w:tcPr>
            <w:tcW w:w="4815" w:type="dxa"/>
            <w:shd w:val="clear" w:color="auto" w:fill="FFFFFF" w:themeFill="background1"/>
          </w:tcPr>
          <w:p w14:paraId="353E3297" w14:textId="3B078ABD" w:rsidR="008758CD" w:rsidRPr="006915AA" w:rsidRDefault="00CB7ED0" w:rsidP="00D82F1A">
            <w:pPr>
              <w:rPr>
                <w:b/>
                <w:sz w:val="24"/>
                <w:szCs w:val="24"/>
              </w:rPr>
            </w:pPr>
            <w:r w:rsidRPr="006915AA">
              <w:rPr>
                <w:b/>
                <w:sz w:val="24"/>
                <w:szCs w:val="24"/>
              </w:rPr>
              <w:t>Supporting learners who have sensory issues</w:t>
            </w:r>
          </w:p>
        </w:tc>
        <w:tc>
          <w:tcPr>
            <w:tcW w:w="10489" w:type="dxa"/>
          </w:tcPr>
          <w:p w14:paraId="11FBF742" w14:textId="1EF1FA22" w:rsidR="0025590D" w:rsidRPr="006915AA" w:rsidRDefault="00CB7ED0" w:rsidP="00830815">
            <w:pPr>
              <w:pStyle w:val="ListParagraph"/>
              <w:numPr>
                <w:ilvl w:val="0"/>
                <w:numId w:val="12"/>
              </w:numPr>
              <w:rPr>
                <w:sz w:val="24"/>
                <w:szCs w:val="24"/>
              </w:rPr>
            </w:pPr>
            <w:r w:rsidRPr="006915AA">
              <w:rPr>
                <w:sz w:val="24"/>
                <w:szCs w:val="24"/>
              </w:rPr>
              <w:t>S</w:t>
            </w:r>
            <w:r w:rsidR="0025590D" w:rsidRPr="006915AA">
              <w:rPr>
                <w:sz w:val="24"/>
                <w:szCs w:val="24"/>
              </w:rPr>
              <w:t>ummaris</w:t>
            </w:r>
            <w:r w:rsidRPr="006915AA">
              <w:rPr>
                <w:sz w:val="24"/>
                <w:szCs w:val="24"/>
              </w:rPr>
              <w:t>e</w:t>
            </w:r>
            <w:r w:rsidR="0025590D" w:rsidRPr="006915AA">
              <w:rPr>
                <w:sz w:val="24"/>
                <w:szCs w:val="24"/>
              </w:rPr>
              <w:t xml:space="preserve"> ideas in pictures </w:t>
            </w:r>
          </w:p>
          <w:p w14:paraId="01F40429" w14:textId="6DB35103" w:rsidR="00CB7ED0" w:rsidRPr="006915AA" w:rsidRDefault="00CB7ED0" w:rsidP="00830815">
            <w:pPr>
              <w:pStyle w:val="ListParagraph"/>
              <w:numPr>
                <w:ilvl w:val="0"/>
                <w:numId w:val="12"/>
              </w:numPr>
              <w:rPr>
                <w:sz w:val="24"/>
                <w:szCs w:val="24"/>
              </w:rPr>
            </w:pPr>
            <w:r w:rsidRPr="006915AA">
              <w:rPr>
                <w:sz w:val="24"/>
                <w:szCs w:val="24"/>
              </w:rPr>
              <w:t xml:space="preserve">Use </w:t>
            </w:r>
            <w:r w:rsidR="0025590D" w:rsidRPr="006915AA">
              <w:rPr>
                <w:sz w:val="24"/>
                <w:szCs w:val="24"/>
              </w:rPr>
              <w:t>visual timelines</w:t>
            </w:r>
          </w:p>
          <w:p w14:paraId="695FEE98" w14:textId="4ABE828D" w:rsidR="0025590D" w:rsidRPr="006915AA" w:rsidRDefault="00CB7ED0" w:rsidP="00830815">
            <w:pPr>
              <w:pStyle w:val="ListParagraph"/>
              <w:numPr>
                <w:ilvl w:val="0"/>
                <w:numId w:val="12"/>
              </w:numPr>
              <w:rPr>
                <w:sz w:val="24"/>
                <w:szCs w:val="24"/>
              </w:rPr>
            </w:pPr>
            <w:r w:rsidRPr="006915AA">
              <w:rPr>
                <w:sz w:val="24"/>
                <w:szCs w:val="24"/>
              </w:rPr>
              <w:t xml:space="preserve">Use </w:t>
            </w:r>
            <w:r w:rsidR="0025590D" w:rsidRPr="006915AA">
              <w:rPr>
                <w:sz w:val="24"/>
                <w:szCs w:val="24"/>
              </w:rPr>
              <w:t xml:space="preserve">or presenting information in tables or diagrams, rather than unbroken text </w:t>
            </w:r>
          </w:p>
          <w:p w14:paraId="2B43E0B7" w14:textId="77777777" w:rsidR="0025590D" w:rsidRPr="006915AA" w:rsidRDefault="0025590D" w:rsidP="00830815">
            <w:pPr>
              <w:pStyle w:val="ListParagraph"/>
              <w:numPr>
                <w:ilvl w:val="0"/>
                <w:numId w:val="12"/>
              </w:numPr>
              <w:rPr>
                <w:sz w:val="24"/>
                <w:szCs w:val="24"/>
              </w:rPr>
            </w:pPr>
            <w:r w:rsidRPr="006915AA">
              <w:rPr>
                <w:sz w:val="24"/>
                <w:szCs w:val="24"/>
              </w:rPr>
              <w:t xml:space="preserve">storyboarding text, </w:t>
            </w:r>
          </w:p>
          <w:p w14:paraId="64D6EAA0" w14:textId="2E3A7EB1" w:rsidR="0025590D" w:rsidRPr="006915AA" w:rsidRDefault="0025590D" w:rsidP="00830815">
            <w:pPr>
              <w:pStyle w:val="ListParagraph"/>
              <w:numPr>
                <w:ilvl w:val="0"/>
                <w:numId w:val="12"/>
              </w:numPr>
              <w:rPr>
                <w:sz w:val="24"/>
                <w:szCs w:val="24"/>
              </w:rPr>
            </w:pPr>
            <w:r w:rsidRPr="006915AA">
              <w:rPr>
                <w:sz w:val="24"/>
                <w:szCs w:val="24"/>
              </w:rPr>
              <w:t xml:space="preserve">demonstrations </w:t>
            </w:r>
          </w:p>
          <w:p w14:paraId="15FC5D51" w14:textId="151B0CAB" w:rsidR="0025590D" w:rsidRPr="006915AA" w:rsidRDefault="0025590D" w:rsidP="00CB7ED0">
            <w:pPr>
              <w:pStyle w:val="ListParagraph"/>
              <w:numPr>
                <w:ilvl w:val="0"/>
                <w:numId w:val="12"/>
              </w:numPr>
              <w:rPr>
                <w:sz w:val="24"/>
                <w:szCs w:val="24"/>
              </w:rPr>
            </w:pPr>
            <w:r w:rsidRPr="006915AA">
              <w:rPr>
                <w:sz w:val="24"/>
                <w:szCs w:val="24"/>
              </w:rPr>
              <w:t>Auditory methods are ideal for auditory learners but are also valuable for pupils with a SEN learner who find text-based work difficult</w:t>
            </w:r>
            <w:r w:rsidR="00CB7ED0" w:rsidRPr="006915AA">
              <w:rPr>
                <w:sz w:val="24"/>
                <w:szCs w:val="24"/>
              </w:rPr>
              <w:t xml:space="preserve"> </w:t>
            </w:r>
            <w:r w:rsidRPr="006915AA">
              <w:rPr>
                <w:sz w:val="24"/>
                <w:szCs w:val="24"/>
              </w:rPr>
              <w:t>written sources could be converted to an auditory form.</w:t>
            </w:r>
          </w:p>
          <w:p w14:paraId="2E279A6E" w14:textId="6A26CE2D" w:rsidR="008758CD" w:rsidRPr="006915AA" w:rsidRDefault="0025590D" w:rsidP="00830815">
            <w:pPr>
              <w:pStyle w:val="ListParagraph"/>
              <w:numPr>
                <w:ilvl w:val="0"/>
                <w:numId w:val="12"/>
              </w:numPr>
              <w:rPr>
                <w:sz w:val="24"/>
                <w:szCs w:val="24"/>
              </w:rPr>
            </w:pPr>
            <w:r w:rsidRPr="006915AA">
              <w:rPr>
                <w:sz w:val="24"/>
                <w:szCs w:val="24"/>
              </w:rPr>
              <w:t>Emotive auditory sources can be used to engage and motivate all pupils, e</w:t>
            </w:r>
            <w:r w:rsidR="00CB7ED0" w:rsidRPr="006915AA">
              <w:rPr>
                <w:sz w:val="24"/>
                <w:szCs w:val="24"/>
              </w:rPr>
              <w:t>.</w:t>
            </w:r>
            <w:r w:rsidRPr="006915AA">
              <w:rPr>
                <w:sz w:val="24"/>
                <w:szCs w:val="24"/>
              </w:rPr>
              <w:t>g</w:t>
            </w:r>
            <w:r w:rsidR="00CB7ED0" w:rsidRPr="006915AA">
              <w:rPr>
                <w:sz w:val="24"/>
                <w:szCs w:val="24"/>
              </w:rPr>
              <w:t>.</w:t>
            </w:r>
            <w:r w:rsidRPr="006915AA">
              <w:rPr>
                <w:sz w:val="24"/>
                <w:szCs w:val="24"/>
              </w:rPr>
              <w:t xml:space="preserve"> </w:t>
            </w:r>
            <w:r w:rsidR="006915AA">
              <w:rPr>
                <w:sz w:val="24"/>
                <w:szCs w:val="24"/>
              </w:rPr>
              <w:t xml:space="preserve">Martin Luther King </w:t>
            </w:r>
            <w:proofErr w:type="spellStart"/>
            <w:r w:rsidR="006915AA">
              <w:rPr>
                <w:sz w:val="24"/>
                <w:szCs w:val="24"/>
              </w:rPr>
              <w:t>Jrs’</w:t>
            </w:r>
            <w:proofErr w:type="spellEnd"/>
            <w:r w:rsidR="006915AA">
              <w:rPr>
                <w:sz w:val="24"/>
                <w:szCs w:val="24"/>
              </w:rPr>
              <w:t xml:space="preserve"> speech</w:t>
            </w:r>
            <w:r w:rsidRPr="006915AA">
              <w:rPr>
                <w:sz w:val="24"/>
                <w:szCs w:val="24"/>
              </w:rPr>
              <w:t xml:space="preserve"> </w:t>
            </w:r>
          </w:p>
        </w:tc>
      </w:tr>
      <w:tr w:rsidR="008758CD" w14:paraId="55222077" w14:textId="77777777" w:rsidTr="00187EA5">
        <w:tc>
          <w:tcPr>
            <w:tcW w:w="4815" w:type="dxa"/>
          </w:tcPr>
          <w:p w14:paraId="2EAB9B9D" w14:textId="1063DF66" w:rsidR="008758CD" w:rsidRPr="006915AA" w:rsidRDefault="00CB7ED0" w:rsidP="00D82F1A">
            <w:pPr>
              <w:rPr>
                <w:b/>
                <w:sz w:val="24"/>
                <w:szCs w:val="24"/>
              </w:rPr>
            </w:pPr>
            <w:r w:rsidRPr="006915AA">
              <w:rPr>
                <w:b/>
                <w:sz w:val="24"/>
                <w:szCs w:val="24"/>
              </w:rPr>
              <w:t>Supporting learners who struggle with transitions</w:t>
            </w:r>
          </w:p>
        </w:tc>
        <w:tc>
          <w:tcPr>
            <w:tcW w:w="10489" w:type="dxa"/>
          </w:tcPr>
          <w:p w14:paraId="35627D59" w14:textId="77777777" w:rsidR="00CB7ED0" w:rsidRPr="006915AA" w:rsidRDefault="0025590D" w:rsidP="00CB7ED0">
            <w:pPr>
              <w:pStyle w:val="ListParagraph"/>
              <w:numPr>
                <w:ilvl w:val="0"/>
                <w:numId w:val="13"/>
              </w:numPr>
              <w:rPr>
                <w:sz w:val="24"/>
                <w:szCs w:val="24"/>
              </w:rPr>
            </w:pPr>
            <w:r w:rsidRPr="006915AA">
              <w:rPr>
                <w:sz w:val="24"/>
                <w:szCs w:val="24"/>
              </w:rPr>
              <w:t>Make sure pupils are well prepared for visits and trips.</w:t>
            </w:r>
          </w:p>
          <w:p w14:paraId="087D974D" w14:textId="3CBCE323" w:rsidR="008758CD" w:rsidRPr="006915AA" w:rsidRDefault="0025590D" w:rsidP="00CB7ED0">
            <w:pPr>
              <w:pStyle w:val="ListParagraph"/>
              <w:numPr>
                <w:ilvl w:val="0"/>
                <w:numId w:val="13"/>
              </w:numPr>
              <w:rPr>
                <w:sz w:val="24"/>
                <w:szCs w:val="24"/>
              </w:rPr>
            </w:pPr>
            <w:r w:rsidRPr="006915AA">
              <w:rPr>
                <w:sz w:val="24"/>
                <w:szCs w:val="24"/>
              </w:rPr>
              <w:t xml:space="preserve"> Preparation can include using photographs, videos, artefacts etc, so that pupils are not worried about unfamiliar situations</w:t>
            </w:r>
          </w:p>
        </w:tc>
      </w:tr>
      <w:tr w:rsidR="008758CD" w14:paraId="67B695E4" w14:textId="77777777" w:rsidTr="00187EA5">
        <w:tc>
          <w:tcPr>
            <w:tcW w:w="4815" w:type="dxa"/>
          </w:tcPr>
          <w:p w14:paraId="2E1A8E25" w14:textId="7DE64C96" w:rsidR="008758CD" w:rsidRPr="006915AA" w:rsidRDefault="00CB7ED0" w:rsidP="00AA4F36">
            <w:pPr>
              <w:rPr>
                <w:b/>
                <w:sz w:val="24"/>
                <w:szCs w:val="24"/>
              </w:rPr>
            </w:pPr>
            <w:r w:rsidRPr="006915AA">
              <w:rPr>
                <w:b/>
                <w:sz w:val="24"/>
                <w:szCs w:val="24"/>
              </w:rPr>
              <w:t>Supporting learners who struggle to access lessons because of literacy difficulties.</w:t>
            </w:r>
          </w:p>
        </w:tc>
        <w:tc>
          <w:tcPr>
            <w:tcW w:w="10489" w:type="dxa"/>
          </w:tcPr>
          <w:p w14:paraId="4B11B98B" w14:textId="1EF7F037" w:rsidR="00B44FE2" w:rsidRPr="006915AA" w:rsidRDefault="00B44FE2" w:rsidP="006915AA">
            <w:pPr>
              <w:pStyle w:val="ListParagraph"/>
              <w:numPr>
                <w:ilvl w:val="0"/>
                <w:numId w:val="10"/>
              </w:numPr>
              <w:rPr>
                <w:sz w:val="24"/>
                <w:szCs w:val="24"/>
              </w:rPr>
            </w:pPr>
            <w:r w:rsidRPr="006915AA">
              <w:rPr>
                <w:sz w:val="24"/>
                <w:szCs w:val="24"/>
              </w:rPr>
              <w:t>The pre-tutoring of important history</w:t>
            </w:r>
            <w:bookmarkStart w:id="0" w:name="_GoBack"/>
            <w:bookmarkEnd w:id="0"/>
            <w:r w:rsidR="00CB7ED0" w:rsidRPr="006915AA">
              <w:rPr>
                <w:sz w:val="24"/>
                <w:szCs w:val="24"/>
              </w:rPr>
              <w:t xml:space="preserve"> </w:t>
            </w:r>
            <w:r w:rsidRPr="006915AA">
              <w:rPr>
                <w:sz w:val="24"/>
                <w:szCs w:val="24"/>
              </w:rPr>
              <w:t xml:space="preserve">vocabulary, concepts  and/or processes, where appropriate. </w:t>
            </w:r>
          </w:p>
          <w:p w14:paraId="41514391" w14:textId="46750E88" w:rsidR="00B44FE2" w:rsidRPr="006915AA" w:rsidRDefault="00CB7ED0" w:rsidP="00B44FE2">
            <w:pPr>
              <w:pStyle w:val="ListParagraph"/>
              <w:numPr>
                <w:ilvl w:val="0"/>
                <w:numId w:val="10"/>
              </w:numPr>
              <w:rPr>
                <w:sz w:val="24"/>
                <w:szCs w:val="24"/>
              </w:rPr>
            </w:pPr>
            <w:r w:rsidRPr="006915AA">
              <w:rPr>
                <w:sz w:val="24"/>
                <w:szCs w:val="24"/>
              </w:rPr>
              <w:lastRenderedPageBreak/>
              <w:t>‘S</w:t>
            </w:r>
            <w:r w:rsidR="00B44FE2" w:rsidRPr="006915AA">
              <w:rPr>
                <w:sz w:val="24"/>
                <w:szCs w:val="24"/>
              </w:rPr>
              <w:t>caffold</w:t>
            </w:r>
            <w:r w:rsidRPr="006915AA">
              <w:rPr>
                <w:sz w:val="24"/>
                <w:szCs w:val="24"/>
              </w:rPr>
              <w:t>ing</w:t>
            </w:r>
            <w:r w:rsidR="00B44FE2" w:rsidRPr="006915AA">
              <w:rPr>
                <w:sz w:val="24"/>
                <w:szCs w:val="24"/>
              </w:rPr>
              <w:t xml:space="preserve">’ speaking or writing e.g. using sentence starters, writing or speaking frames that focus pupils’ attention on key pieces of information. </w:t>
            </w:r>
          </w:p>
          <w:p w14:paraId="50968C68" w14:textId="13BB6148" w:rsidR="00B44FE2" w:rsidRPr="006915AA" w:rsidRDefault="00B44FE2" w:rsidP="00B44FE2">
            <w:pPr>
              <w:pStyle w:val="ListParagraph"/>
              <w:numPr>
                <w:ilvl w:val="0"/>
                <w:numId w:val="10"/>
              </w:numPr>
              <w:rPr>
                <w:sz w:val="24"/>
                <w:szCs w:val="24"/>
              </w:rPr>
            </w:pPr>
            <w:r w:rsidRPr="006915AA">
              <w:rPr>
                <w:sz w:val="24"/>
                <w:szCs w:val="24"/>
              </w:rPr>
              <w:t>Writing or speaking frames can be used to provide prompts and support, e.g. when working with sources pupils could use</w:t>
            </w:r>
            <w:r w:rsidR="00CB7ED0" w:rsidRPr="006915AA">
              <w:rPr>
                <w:sz w:val="24"/>
                <w:szCs w:val="24"/>
              </w:rPr>
              <w:t>’</w:t>
            </w:r>
            <w:r w:rsidRPr="006915AA">
              <w:rPr>
                <w:sz w:val="24"/>
                <w:szCs w:val="24"/>
              </w:rPr>
              <w:t xml:space="preserve"> this tells me… </w:t>
            </w:r>
            <w:r w:rsidR="00CB7ED0" w:rsidRPr="006915AA">
              <w:rPr>
                <w:sz w:val="24"/>
                <w:szCs w:val="24"/>
              </w:rPr>
              <w:t>‘’</w:t>
            </w:r>
            <w:r w:rsidRPr="006915AA">
              <w:rPr>
                <w:sz w:val="24"/>
                <w:szCs w:val="24"/>
              </w:rPr>
              <w:t xml:space="preserve"> In this picture I can see…</w:t>
            </w:r>
            <w:r w:rsidR="00CB7ED0" w:rsidRPr="006915AA">
              <w:rPr>
                <w:sz w:val="24"/>
                <w:szCs w:val="24"/>
              </w:rPr>
              <w:t>’</w:t>
            </w:r>
            <w:r w:rsidRPr="006915AA">
              <w:rPr>
                <w:sz w:val="24"/>
                <w:szCs w:val="24"/>
              </w:rPr>
              <w:t xml:space="preserve"> </w:t>
            </w:r>
          </w:p>
          <w:p w14:paraId="02393C79" w14:textId="26C05EF1" w:rsidR="008758CD" w:rsidRPr="006915AA" w:rsidRDefault="00B44FE2" w:rsidP="00B44FE2">
            <w:pPr>
              <w:pStyle w:val="ListParagraph"/>
              <w:numPr>
                <w:ilvl w:val="0"/>
                <w:numId w:val="10"/>
              </w:numPr>
              <w:rPr>
                <w:sz w:val="24"/>
                <w:szCs w:val="24"/>
              </w:rPr>
            </w:pPr>
            <w:r w:rsidRPr="006915AA">
              <w:rPr>
                <w:sz w:val="24"/>
                <w:szCs w:val="24"/>
              </w:rPr>
              <w:t>Modelling connectives to help prompt elaboration, e.g. ‘and so’ to help pupils link information, ‘because’ to encourage pupils to give reasons, and ‘consequently’ to prompt pupils to think of the results of action</w:t>
            </w:r>
          </w:p>
          <w:p w14:paraId="4BCBE254" w14:textId="3D071539" w:rsidR="00CB7ED0" w:rsidRPr="006915AA" w:rsidRDefault="00B44FE2" w:rsidP="00187EA5">
            <w:pPr>
              <w:pStyle w:val="ListParagraph"/>
              <w:numPr>
                <w:ilvl w:val="0"/>
                <w:numId w:val="10"/>
              </w:numPr>
              <w:rPr>
                <w:sz w:val="24"/>
                <w:szCs w:val="24"/>
              </w:rPr>
            </w:pPr>
            <w:r w:rsidRPr="006915AA">
              <w:rPr>
                <w:sz w:val="24"/>
                <w:szCs w:val="24"/>
              </w:rPr>
              <w:t>Create a word bank organised to show that the same word can have different meanings in different contexts and to highlight difficult or abstract words.</w:t>
            </w:r>
            <w:r w:rsidR="00CB7ED0" w:rsidRPr="006915AA">
              <w:rPr>
                <w:sz w:val="24"/>
                <w:szCs w:val="24"/>
              </w:rPr>
              <w:t xml:space="preserve"> </w:t>
            </w:r>
          </w:p>
        </w:tc>
      </w:tr>
      <w:tr w:rsidR="008758CD" w14:paraId="41BE469B" w14:textId="77777777" w:rsidTr="00187EA5">
        <w:tc>
          <w:tcPr>
            <w:tcW w:w="4815" w:type="dxa"/>
          </w:tcPr>
          <w:p w14:paraId="62A142D0" w14:textId="26B368B0" w:rsidR="008758CD" w:rsidRPr="006915AA" w:rsidRDefault="00CB7ED0" w:rsidP="008758CD">
            <w:pPr>
              <w:rPr>
                <w:b/>
                <w:sz w:val="24"/>
                <w:szCs w:val="24"/>
              </w:rPr>
            </w:pPr>
            <w:r w:rsidRPr="006915AA">
              <w:rPr>
                <w:b/>
                <w:sz w:val="24"/>
                <w:szCs w:val="24"/>
              </w:rPr>
              <w:lastRenderedPageBreak/>
              <w:t>Supporting learners who struggle to retain vocabulary.</w:t>
            </w:r>
          </w:p>
        </w:tc>
        <w:tc>
          <w:tcPr>
            <w:tcW w:w="10489" w:type="dxa"/>
          </w:tcPr>
          <w:p w14:paraId="3979817C" w14:textId="126529FF" w:rsidR="00CB7ED0" w:rsidRPr="006915AA" w:rsidRDefault="00B44FE2" w:rsidP="00E97799">
            <w:pPr>
              <w:pStyle w:val="ListParagraph"/>
              <w:numPr>
                <w:ilvl w:val="0"/>
                <w:numId w:val="10"/>
              </w:numPr>
              <w:rPr>
                <w:sz w:val="24"/>
                <w:szCs w:val="24"/>
              </w:rPr>
            </w:pPr>
            <w:r w:rsidRPr="006915AA">
              <w:rPr>
                <w:sz w:val="24"/>
                <w:szCs w:val="24"/>
              </w:rPr>
              <w:t xml:space="preserve">The amount of material to be remembered is reduced. </w:t>
            </w:r>
          </w:p>
          <w:p w14:paraId="30387BAD" w14:textId="77777777" w:rsidR="00CB7ED0" w:rsidRPr="006915AA" w:rsidRDefault="00B44FE2" w:rsidP="00E97799">
            <w:pPr>
              <w:pStyle w:val="ListParagraph"/>
              <w:numPr>
                <w:ilvl w:val="0"/>
                <w:numId w:val="10"/>
              </w:numPr>
              <w:rPr>
                <w:sz w:val="24"/>
                <w:szCs w:val="24"/>
              </w:rPr>
            </w:pPr>
            <w:r w:rsidRPr="006915AA">
              <w:rPr>
                <w:sz w:val="24"/>
                <w:szCs w:val="24"/>
              </w:rPr>
              <w:t xml:space="preserve">Repeat or display important information. </w:t>
            </w:r>
          </w:p>
          <w:p w14:paraId="0DC8B29D" w14:textId="77777777" w:rsidR="00CB7ED0" w:rsidRPr="006915AA" w:rsidRDefault="00B44FE2" w:rsidP="00E97799">
            <w:pPr>
              <w:pStyle w:val="ListParagraph"/>
              <w:numPr>
                <w:ilvl w:val="0"/>
                <w:numId w:val="10"/>
              </w:numPr>
              <w:rPr>
                <w:sz w:val="24"/>
                <w:szCs w:val="24"/>
              </w:rPr>
            </w:pPr>
            <w:r w:rsidRPr="006915AA">
              <w:rPr>
                <w:sz w:val="24"/>
                <w:szCs w:val="24"/>
              </w:rPr>
              <w:t>The meaningfulness and familiarity of the material is increased.</w:t>
            </w:r>
          </w:p>
          <w:p w14:paraId="5F8D107C" w14:textId="01ED75B1" w:rsidR="008758CD" w:rsidRPr="006915AA" w:rsidRDefault="00B44FE2" w:rsidP="00E97799">
            <w:pPr>
              <w:pStyle w:val="ListParagraph"/>
              <w:numPr>
                <w:ilvl w:val="0"/>
                <w:numId w:val="10"/>
              </w:numPr>
              <w:rPr>
                <w:sz w:val="24"/>
                <w:szCs w:val="24"/>
              </w:rPr>
            </w:pPr>
            <w:r w:rsidRPr="006915AA">
              <w:rPr>
                <w:sz w:val="24"/>
                <w:szCs w:val="24"/>
              </w:rPr>
              <w:t xml:space="preserve"> Mental processing and explanations of complex tasks are simplified.</w:t>
            </w:r>
          </w:p>
        </w:tc>
      </w:tr>
      <w:tr w:rsidR="00E267CA" w14:paraId="0CD312EC" w14:textId="77777777" w:rsidTr="00187EA5">
        <w:tc>
          <w:tcPr>
            <w:tcW w:w="4815" w:type="dxa"/>
          </w:tcPr>
          <w:p w14:paraId="3BA76ED1" w14:textId="3FE20F24" w:rsidR="00E267CA" w:rsidRPr="006915AA" w:rsidRDefault="00CB7ED0" w:rsidP="008758CD">
            <w:pPr>
              <w:rPr>
                <w:b/>
                <w:sz w:val="24"/>
                <w:szCs w:val="24"/>
              </w:rPr>
            </w:pPr>
            <w:r w:rsidRPr="006915AA">
              <w:rPr>
                <w:b/>
                <w:sz w:val="24"/>
                <w:szCs w:val="24"/>
              </w:rPr>
              <w:t>Supporting learners who struggle with attention.</w:t>
            </w:r>
          </w:p>
        </w:tc>
        <w:tc>
          <w:tcPr>
            <w:tcW w:w="10489" w:type="dxa"/>
          </w:tcPr>
          <w:p w14:paraId="0CF98BFF" w14:textId="77777777" w:rsidR="00CB7ED0" w:rsidRPr="006915AA" w:rsidRDefault="00CB7ED0" w:rsidP="00CB7ED0">
            <w:pPr>
              <w:pStyle w:val="ListParagraph"/>
              <w:numPr>
                <w:ilvl w:val="0"/>
                <w:numId w:val="15"/>
              </w:numPr>
              <w:rPr>
                <w:sz w:val="24"/>
                <w:szCs w:val="24"/>
              </w:rPr>
            </w:pPr>
            <w:r w:rsidRPr="006915AA">
              <w:rPr>
                <w:sz w:val="24"/>
                <w:szCs w:val="24"/>
              </w:rPr>
              <w:t xml:space="preserve">Provide activities that require movement for pupils who learn best through doing and for pupils who find it difficult to sit still for long periods: </w:t>
            </w:r>
          </w:p>
          <w:p w14:paraId="5C7C5FF8" w14:textId="4B279FB8" w:rsidR="00CB7ED0" w:rsidRPr="006915AA" w:rsidRDefault="00CB7ED0" w:rsidP="00CB7ED0">
            <w:pPr>
              <w:pStyle w:val="ListParagraph"/>
              <w:numPr>
                <w:ilvl w:val="0"/>
                <w:numId w:val="15"/>
              </w:numPr>
              <w:rPr>
                <w:sz w:val="24"/>
                <w:szCs w:val="24"/>
              </w:rPr>
            </w:pPr>
            <w:r w:rsidRPr="006915AA">
              <w:rPr>
                <w:sz w:val="24"/>
                <w:szCs w:val="24"/>
              </w:rPr>
              <w:t xml:space="preserve">Use role-play " card sorting " modelling structures </w:t>
            </w:r>
          </w:p>
          <w:p w14:paraId="2A7A9EFD" w14:textId="77777777" w:rsidR="00CB7ED0" w:rsidRPr="006915AA" w:rsidRDefault="00CB7ED0" w:rsidP="00CB7ED0">
            <w:pPr>
              <w:pStyle w:val="ListParagraph"/>
              <w:numPr>
                <w:ilvl w:val="0"/>
                <w:numId w:val="15"/>
              </w:numPr>
              <w:rPr>
                <w:sz w:val="24"/>
                <w:szCs w:val="24"/>
              </w:rPr>
            </w:pPr>
            <w:r w:rsidRPr="006915AA">
              <w:rPr>
                <w:sz w:val="24"/>
                <w:szCs w:val="24"/>
              </w:rPr>
              <w:t>Use pictures and symbols to illustrate abstract, new or historical concepts to enhance curriculum access for pupils with learning difficulties.</w:t>
            </w:r>
          </w:p>
          <w:p w14:paraId="21531ED8" w14:textId="3D3206FC" w:rsidR="00E267CA" w:rsidRPr="006915AA" w:rsidRDefault="00CB7ED0" w:rsidP="00CB7ED0">
            <w:pPr>
              <w:pStyle w:val="ListParagraph"/>
              <w:numPr>
                <w:ilvl w:val="0"/>
                <w:numId w:val="15"/>
              </w:numPr>
              <w:rPr>
                <w:sz w:val="24"/>
                <w:szCs w:val="24"/>
              </w:rPr>
            </w:pPr>
            <w:r w:rsidRPr="006915AA">
              <w:rPr>
                <w:sz w:val="24"/>
                <w:szCs w:val="24"/>
              </w:rPr>
              <w:t xml:space="preserve"> Symbols may need to be provided, for instance for artefacts from Victorian times</w:t>
            </w:r>
          </w:p>
        </w:tc>
      </w:tr>
      <w:tr w:rsidR="007A7CB0" w14:paraId="361F764D" w14:textId="77777777" w:rsidTr="00187EA5">
        <w:tc>
          <w:tcPr>
            <w:tcW w:w="4815" w:type="dxa"/>
          </w:tcPr>
          <w:p w14:paraId="329CE5F3" w14:textId="224B9418" w:rsidR="007A7CB0" w:rsidRPr="006915AA" w:rsidRDefault="007A7CB0" w:rsidP="008758CD">
            <w:pPr>
              <w:rPr>
                <w:b/>
                <w:sz w:val="24"/>
                <w:szCs w:val="24"/>
              </w:rPr>
            </w:pPr>
            <w:r w:rsidRPr="006915AA">
              <w:rPr>
                <w:b/>
                <w:sz w:val="24"/>
                <w:szCs w:val="24"/>
              </w:rPr>
              <w:t>Supporting Learn</w:t>
            </w:r>
            <w:r w:rsidR="00EB5EFF" w:rsidRPr="006915AA">
              <w:rPr>
                <w:b/>
                <w:sz w:val="24"/>
                <w:szCs w:val="24"/>
              </w:rPr>
              <w:t>ers</w:t>
            </w:r>
            <w:r w:rsidRPr="006915AA">
              <w:rPr>
                <w:b/>
                <w:sz w:val="24"/>
                <w:szCs w:val="24"/>
              </w:rPr>
              <w:t xml:space="preserve"> who have physical needs</w:t>
            </w:r>
          </w:p>
        </w:tc>
        <w:tc>
          <w:tcPr>
            <w:tcW w:w="10489" w:type="dxa"/>
          </w:tcPr>
          <w:p w14:paraId="3BB390B6" w14:textId="4C047A32" w:rsidR="007A7CB0" w:rsidRPr="006915AA" w:rsidRDefault="00EB5EFF" w:rsidP="00CB7ED0">
            <w:pPr>
              <w:pStyle w:val="ListParagraph"/>
              <w:numPr>
                <w:ilvl w:val="0"/>
                <w:numId w:val="15"/>
              </w:numPr>
              <w:rPr>
                <w:sz w:val="24"/>
                <w:szCs w:val="24"/>
              </w:rPr>
            </w:pPr>
            <w:r w:rsidRPr="006915AA">
              <w:rPr>
                <w:sz w:val="24"/>
                <w:szCs w:val="24"/>
              </w:rPr>
              <w:t xml:space="preserve">Pre-empt how an unfamiliar learning environment may affect SEND learners </w:t>
            </w:r>
          </w:p>
          <w:p w14:paraId="02D18999" w14:textId="77777777" w:rsidR="00EB5EFF" w:rsidRPr="006915AA" w:rsidRDefault="00EB5EFF" w:rsidP="00CB7ED0">
            <w:pPr>
              <w:pStyle w:val="ListParagraph"/>
              <w:numPr>
                <w:ilvl w:val="0"/>
                <w:numId w:val="15"/>
              </w:numPr>
              <w:rPr>
                <w:sz w:val="24"/>
                <w:szCs w:val="24"/>
              </w:rPr>
            </w:pPr>
            <w:r w:rsidRPr="006915AA">
              <w:rPr>
                <w:sz w:val="24"/>
                <w:szCs w:val="24"/>
              </w:rPr>
              <w:t>Consider how assistive technology can support learning e.g. dictation software, photos, ear defenders etc.</w:t>
            </w:r>
          </w:p>
          <w:p w14:paraId="482E5FD6" w14:textId="4A274197" w:rsidR="00EB5EFF" w:rsidRPr="006915AA" w:rsidRDefault="00EB5EFF" w:rsidP="00CB7ED0">
            <w:pPr>
              <w:pStyle w:val="ListParagraph"/>
              <w:numPr>
                <w:ilvl w:val="0"/>
                <w:numId w:val="15"/>
              </w:numPr>
              <w:rPr>
                <w:sz w:val="24"/>
                <w:szCs w:val="24"/>
              </w:rPr>
            </w:pPr>
            <w:r w:rsidRPr="006915AA">
              <w:rPr>
                <w:sz w:val="24"/>
                <w:szCs w:val="24"/>
              </w:rPr>
              <w:t>A thorough risk assessment is necessary</w:t>
            </w:r>
          </w:p>
        </w:tc>
      </w:tr>
    </w:tbl>
    <w:p w14:paraId="3FC7EC53" w14:textId="77777777" w:rsidR="007F4321" w:rsidRPr="007F4321" w:rsidRDefault="007F4321" w:rsidP="008758CD">
      <w:pPr>
        <w:rPr>
          <w:sz w:val="28"/>
          <w:szCs w:val="28"/>
          <w:u w:val="single"/>
        </w:rPr>
      </w:pPr>
    </w:p>
    <w:sectPr w:rsidR="007F4321" w:rsidRPr="007F4321" w:rsidSect="003C7E3E">
      <w:headerReference w:type="default" r:id="rId11"/>
      <w:head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E520E" w14:textId="77777777" w:rsidR="003C7E3E" w:rsidRDefault="003C7E3E" w:rsidP="008758CD">
      <w:pPr>
        <w:spacing w:after="0" w:line="240" w:lineRule="auto"/>
      </w:pPr>
      <w:r>
        <w:separator/>
      </w:r>
    </w:p>
  </w:endnote>
  <w:endnote w:type="continuationSeparator" w:id="0">
    <w:p w14:paraId="4A1D6EF6" w14:textId="77777777" w:rsidR="003C7E3E" w:rsidRDefault="003C7E3E" w:rsidP="0087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E5E27" w14:textId="77777777" w:rsidR="003C7E3E" w:rsidRDefault="003C7E3E" w:rsidP="008758CD">
      <w:pPr>
        <w:spacing w:after="0" w:line="240" w:lineRule="auto"/>
      </w:pPr>
      <w:r>
        <w:separator/>
      </w:r>
    </w:p>
  </w:footnote>
  <w:footnote w:type="continuationSeparator" w:id="0">
    <w:p w14:paraId="514CE438" w14:textId="77777777" w:rsidR="003C7E3E" w:rsidRDefault="003C7E3E" w:rsidP="00875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4E5C" w14:textId="73498119" w:rsidR="008758CD" w:rsidRDefault="008758CD" w:rsidP="008758CD">
    <w:pPr>
      <w:pStyle w:val="Header"/>
      <w:tabs>
        <w:tab w:val="clear" w:pos="4513"/>
        <w:tab w:val="clear" w:pos="9026"/>
        <w:tab w:val="left" w:pos="2790"/>
        <w:tab w:val="left" w:pos="3600"/>
      </w:tabs>
      <w:rPr>
        <w:b/>
        <w:sz w:val="32"/>
        <w:szCs w:val="32"/>
        <w:u w:val="single"/>
      </w:rPr>
    </w:pPr>
    <w:r>
      <w:tab/>
    </w:r>
  </w:p>
  <w:p w14:paraId="13CA16A3" w14:textId="77777777" w:rsidR="00E267CA" w:rsidRDefault="00E267CA" w:rsidP="008758CD">
    <w:pPr>
      <w:pStyle w:val="Header"/>
      <w:tabs>
        <w:tab w:val="clear" w:pos="4513"/>
        <w:tab w:val="clear" w:pos="9026"/>
        <w:tab w:val="left" w:pos="2790"/>
        <w:tab w:val="left" w:pos="36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11908"/>
      <w:gridCol w:w="1566"/>
    </w:tblGrid>
    <w:tr w:rsidR="00187EA5" w14:paraId="7F54B87F" w14:textId="77777777" w:rsidTr="00A66B7D">
      <w:tc>
        <w:tcPr>
          <w:tcW w:w="1926" w:type="dxa"/>
          <w:vAlign w:val="center"/>
        </w:tcPr>
        <w:p w14:paraId="34B840DB" w14:textId="77777777" w:rsidR="00187EA5" w:rsidRDefault="00187EA5" w:rsidP="00187EA5">
          <w:pPr>
            <w:pStyle w:val="Header"/>
            <w:tabs>
              <w:tab w:val="clear" w:pos="4513"/>
              <w:tab w:val="clear" w:pos="9026"/>
              <w:tab w:val="left" w:pos="2790"/>
              <w:tab w:val="left" w:pos="3600"/>
            </w:tabs>
          </w:pPr>
          <w:r>
            <w:rPr>
              <w:noProof/>
            </w:rPr>
            <w:drawing>
              <wp:inline distT="0" distB="0" distL="0" distR="0" wp14:anchorId="7036ECB3" wp14:editId="062385F1">
                <wp:extent cx="857250" cy="857250"/>
                <wp:effectExtent l="0" t="0" r="0" b="0"/>
                <wp:docPr id="1640827579" name="Picture 1" descr="A blue circle with white text and a scr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827579" name="Picture 1" descr="A blue circle with white text and a scrol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7369" cy="857369"/>
                        </a:xfrm>
                        <a:prstGeom prst="rect">
                          <a:avLst/>
                        </a:prstGeom>
                      </pic:spPr>
                    </pic:pic>
                  </a:graphicData>
                </a:graphic>
              </wp:inline>
            </w:drawing>
          </w:r>
        </w:p>
      </w:tc>
      <w:tc>
        <w:tcPr>
          <w:tcW w:w="11966" w:type="dxa"/>
          <w:vAlign w:val="center"/>
        </w:tcPr>
        <w:p w14:paraId="5E349681" w14:textId="77777777" w:rsidR="00187EA5" w:rsidRDefault="00AC540A" w:rsidP="00187EA5">
          <w:pPr>
            <w:pStyle w:val="Header"/>
            <w:tabs>
              <w:tab w:val="clear" w:pos="4513"/>
              <w:tab w:val="clear" w:pos="9026"/>
              <w:tab w:val="left" w:pos="2790"/>
              <w:tab w:val="left" w:pos="3600"/>
            </w:tabs>
            <w:jc w:val="center"/>
            <w:rPr>
              <w:b/>
              <w:bCs/>
              <w:sz w:val="48"/>
              <w:szCs w:val="48"/>
            </w:rPr>
          </w:pPr>
          <w:r>
            <w:rPr>
              <w:b/>
              <w:bCs/>
              <w:sz w:val="48"/>
              <w:szCs w:val="48"/>
            </w:rPr>
            <w:t xml:space="preserve">Seamer and </w:t>
          </w:r>
          <w:proofErr w:type="spellStart"/>
          <w:r>
            <w:rPr>
              <w:b/>
              <w:bCs/>
              <w:sz w:val="48"/>
              <w:szCs w:val="48"/>
            </w:rPr>
            <w:t>Irton</w:t>
          </w:r>
          <w:proofErr w:type="spellEnd"/>
          <w:r>
            <w:rPr>
              <w:b/>
              <w:bCs/>
              <w:sz w:val="48"/>
              <w:szCs w:val="48"/>
            </w:rPr>
            <w:t xml:space="preserve"> CP School</w:t>
          </w:r>
        </w:p>
        <w:p w14:paraId="6D53017C" w14:textId="5FB5BAD8" w:rsidR="00AC540A" w:rsidRPr="00AC540A" w:rsidRDefault="00AC540A" w:rsidP="00187EA5">
          <w:pPr>
            <w:pStyle w:val="Header"/>
            <w:tabs>
              <w:tab w:val="clear" w:pos="4513"/>
              <w:tab w:val="clear" w:pos="9026"/>
              <w:tab w:val="left" w:pos="2790"/>
              <w:tab w:val="left" w:pos="3600"/>
            </w:tabs>
            <w:jc w:val="center"/>
            <w:rPr>
              <w:bCs/>
              <w:sz w:val="48"/>
              <w:szCs w:val="48"/>
            </w:rPr>
          </w:pPr>
          <w:r w:rsidRPr="00AC540A">
            <w:rPr>
              <w:bCs/>
              <w:sz w:val="36"/>
              <w:szCs w:val="48"/>
            </w:rPr>
            <w:t>Supporting children with SEN</w:t>
          </w:r>
          <w:r>
            <w:rPr>
              <w:bCs/>
              <w:sz w:val="36"/>
              <w:szCs w:val="48"/>
            </w:rPr>
            <w:t xml:space="preserve"> in History</w:t>
          </w:r>
        </w:p>
      </w:tc>
      <w:tc>
        <w:tcPr>
          <w:tcW w:w="1417" w:type="dxa"/>
          <w:vAlign w:val="center"/>
        </w:tcPr>
        <w:p w14:paraId="246CDC86" w14:textId="77777777" w:rsidR="00187EA5" w:rsidRDefault="00187EA5" w:rsidP="00187EA5">
          <w:pPr>
            <w:pStyle w:val="Header"/>
            <w:tabs>
              <w:tab w:val="clear" w:pos="4513"/>
              <w:tab w:val="clear" w:pos="9026"/>
              <w:tab w:val="left" w:pos="2790"/>
              <w:tab w:val="left" w:pos="3600"/>
            </w:tabs>
          </w:pPr>
          <w:r>
            <w:rPr>
              <w:noProof/>
            </w:rPr>
            <w:drawing>
              <wp:inline distT="0" distB="0" distL="0" distR="0" wp14:anchorId="1BD62C38" wp14:editId="026B26A1">
                <wp:extent cx="857250" cy="857250"/>
                <wp:effectExtent l="0" t="0" r="0" b="0"/>
                <wp:docPr id="980415621" name="Picture 1" descr="A blue circle with white text and a scr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827579" name="Picture 1" descr="A blue circle with white text and a scrol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7369" cy="857369"/>
                        </a:xfrm>
                        <a:prstGeom prst="rect">
                          <a:avLst/>
                        </a:prstGeom>
                      </pic:spPr>
                    </pic:pic>
                  </a:graphicData>
                </a:graphic>
              </wp:inline>
            </w:drawing>
          </w:r>
        </w:p>
      </w:tc>
    </w:tr>
  </w:tbl>
  <w:p w14:paraId="1D4DF942" w14:textId="77777777" w:rsidR="00187EA5" w:rsidRDefault="00187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0AE"/>
    <w:multiLevelType w:val="hybridMultilevel"/>
    <w:tmpl w:val="2B7C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D4251"/>
    <w:multiLevelType w:val="hybridMultilevel"/>
    <w:tmpl w:val="DD6A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73C6A"/>
    <w:multiLevelType w:val="hybridMultilevel"/>
    <w:tmpl w:val="9DA0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D203B"/>
    <w:multiLevelType w:val="hybridMultilevel"/>
    <w:tmpl w:val="6A56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66107"/>
    <w:multiLevelType w:val="hybridMultilevel"/>
    <w:tmpl w:val="0498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241F5"/>
    <w:multiLevelType w:val="hybridMultilevel"/>
    <w:tmpl w:val="06DE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61096"/>
    <w:multiLevelType w:val="hybridMultilevel"/>
    <w:tmpl w:val="EF6A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227F4"/>
    <w:multiLevelType w:val="hybridMultilevel"/>
    <w:tmpl w:val="C706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640CB"/>
    <w:multiLevelType w:val="hybridMultilevel"/>
    <w:tmpl w:val="A856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80771"/>
    <w:multiLevelType w:val="hybridMultilevel"/>
    <w:tmpl w:val="1082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328FB"/>
    <w:multiLevelType w:val="hybridMultilevel"/>
    <w:tmpl w:val="D798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D3829"/>
    <w:multiLevelType w:val="hybridMultilevel"/>
    <w:tmpl w:val="6B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F5A5B"/>
    <w:multiLevelType w:val="hybridMultilevel"/>
    <w:tmpl w:val="63D8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633B5"/>
    <w:multiLevelType w:val="hybridMultilevel"/>
    <w:tmpl w:val="1810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C74FD"/>
    <w:multiLevelType w:val="hybridMultilevel"/>
    <w:tmpl w:val="CB78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5324CD"/>
    <w:multiLevelType w:val="hybridMultilevel"/>
    <w:tmpl w:val="EDC2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56CB8"/>
    <w:multiLevelType w:val="hybridMultilevel"/>
    <w:tmpl w:val="76A2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2B51C0"/>
    <w:multiLevelType w:val="hybridMultilevel"/>
    <w:tmpl w:val="D0B6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14"/>
  </w:num>
  <w:num w:numId="5">
    <w:abstractNumId w:val="6"/>
  </w:num>
  <w:num w:numId="6">
    <w:abstractNumId w:val="16"/>
  </w:num>
  <w:num w:numId="7">
    <w:abstractNumId w:val="8"/>
  </w:num>
  <w:num w:numId="8">
    <w:abstractNumId w:val="1"/>
  </w:num>
  <w:num w:numId="9">
    <w:abstractNumId w:val="11"/>
  </w:num>
  <w:num w:numId="10">
    <w:abstractNumId w:val="0"/>
  </w:num>
  <w:num w:numId="11">
    <w:abstractNumId w:val="9"/>
  </w:num>
  <w:num w:numId="12">
    <w:abstractNumId w:val="12"/>
  </w:num>
  <w:num w:numId="13">
    <w:abstractNumId w:val="3"/>
  </w:num>
  <w:num w:numId="14">
    <w:abstractNumId w:val="17"/>
  </w:num>
  <w:num w:numId="15">
    <w:abstractNumId w:val="13"/>
  </w:num>
  <w:num w:numId="16">
    <w:abstractNumId w:val="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CD"/>
    <w:rsid w:val="000179E6"/>
    <w:rsid w:val="00165591"/>
    <w:rsid w:val="00187EA5"/>
    <w:rsid w:val="0025590D"/>
    <w:rsid w:val="003249B6"/>
    <w:rsid w:val="003C7E3E"/>
    <w:rsid w:val="003D1E3F"/>
    <w:rsid w:val="00455F3A"/>
    <w:rsid w:val="00614053"/>
    <w:rsid w:val="006915AA"/>
    <w:rsid w:val="007A7CB0"/>
    <w:rsid w:val="007F4321"/>
    <w:rsid w:val="00830815"/>
    <w:rsid w:val="008758CD"/>
    <w:rsid w:val="00882DA9"/>
    <w:rsid w:val="008956CD"/>
    <w:rsid w:val="008B758B"/>
    <w:rsid w:val="0092768F"/>
    <w:rsid w:val="00A314F8"/>
    <w:rsid w:val="00A70CFF"/>
    <w:rsid w:val="00AA4F36"/>
    <w:rsid w:val="00AC540A"/>
    <w:rsid w:val="00B44FE2"/>
    <w:rsid w:val="00C57986"/>
    <w:rsid w:val="00CB7ED0"/>
    <w:rsid w:val="00D82F1A"/>
    <w:rsid w:val="00DF5E63"/>
    <w:rsid w:val="00E267CA"/>
    <w:rsid w:val="00E97799"/>
    <w:rsid w:val="00EB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78E70"/>
  <w15:chartTrackingRefBased/>
  <w15:docId w15:val="{B106BA8C-81CE-4F53-BDA8-CA919300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8CD"/>
  </w:style>
  <w:style w:type="paragraph" w:styleId="Footer">
    <w:name w:val="footer"/>
    <w:basedOn w:val="Normal"/>
    <w:link w:val="FooterChar"/>
    <w:uiPriority w:val="99"/>
    <w:unhideWhenUsed/>
    <w:rsid w:val="00875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8CD"/>
  </w:style>
  <w:style w:type="table" w:styleId="TableGrid">
    <w:name w:val="Table Grid"/>
    <w:basedOn w:val="TableNormal"/>
    <w:uiPriority w:val="39"/>
    <w:rsid w:val="0087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0F73993207441924FC896851D7CE5" ma:contentTypeVersion="14" ma:contentTypeDescription="Create a new document." ma:contentTypeScope="" ma:versionID="66956150eb98a1859ef29b7d3020d6d0">
  <xsd:schema xmlns:xsd="http://www.w3.org/2001/XMLSchema" xmlns:xs="http://www.w3.org/2001/XMLSchema" xmlns:p="http://schemas.microsoft.com/office/2006/metadata/properties" xmlns:ns3="f9136560-778d-4701-a8e3-76a0dc5ec62d" xmlns:ns4="10edd8ff-38e1-4b50-8e38-571a4953393b" targetNamespace="http://schemas.microsoft.com/office/2006/metadata/properties" ma:root="true" ma:fieldsID="850797cfe83acd7690327dd012d8a278" ns3:_="" ns4:_="">
    <xsd:import namespace="f9136560-778d-4701-a8e3-76a0dc5ec62d"/>
    <xsd:import namespace="10edd8ff-38e1-4b50-8e38-571a495339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36560-778d-4701-a8e3-76a0dc5ec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edd8ff-38e1-4b50-8e38-571a495339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DCE37-F536-4F8A-8943-B05F19EC26B0}">
  <ds:schemaRef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10edd8ff-38e1-4b50-8e38-571a4953393b"/>
    <ds:schemaRef ds:uri="http://purl.org/dc/terms/"/>
    <ds:schemaRef ds:uri="f9136560-778d-4701-a8e3-76a0dc5ec62d"/>
    <ds:schemaRef ds:uri="http://www.w3.org/XML/1998/namespace"/>
  </ds:schemaRefs>
</ds:datastoreItem>
</file>

<file path=customXml/itemProps2.xml><?xml version="1.0" encoding="utf-8"?>
<ds:datastoreItem xmlns:ds="http://schemas.openxmlformats.org/officeDocument/2006/customXml" ds:itemID="{4D2D4049-FD93-49BB-A895-D8202D68D665}">
  <ds:schemaRefs>
    <ds:schemaRef ds:uri="http://schemas.microsoft.com/sharepoint/v3/contenttype/forms"/>
  </ds:schemaRefs>
</ds:datastoreItem>
</file>

<file path=customXml/itemProps3.xml><?xml version="1.0" encoding="utf-8"?>
<ds:datastoreItem xmlns:ds="http://schemas.openxmlformats.org/officeDocument/2006/customXml" ds:itemID="{89F21A33-7238-4236-A8D7-595F00275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36560-778d-4701-a8e3-76a0dc5ec62d"/>
    <ds:schemaRef ds:uri="10edd8ff-38e1-4b50-8e38-571a49533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7EA18-8AFD-4B34-80E7-A6DA3880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&amp; I</dc:creator>
  <cp:keywords/>
  <dc:description/>
  <cp:lastModifiedBy>Rebecca Chaplin</cp:lastModifiedBy>
  <cp:revision>5</cp:revision>
  <cp:lastPrinted>2024-03-06T10:39:00Z</cp:lastPrinted>
  <dcterms:created xsi:type="dcterms:W3CDTF">2024-02-19T16:15:00Z</dcterms:created>
  <dcterms:modified xsi:type="dcterms:W3CDTF">2024-04-30T08:10:00Z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0x010100E420F73993207441924FC896851D7CE5</vt:lpwstr>
  </property>
</Properties>
</file>